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F7" w:rsidRPr="00A24CF7" w:rsidRDefault="00A24CF7" w:rsidP="00A24CF7">
      <w:pPr>
        <w:widowControl/>
        <w:tabs>
          <w:tab w:val="left" w:pos="1620"/>
          <w:tab w:val="center" w:pos="4473"/>
        </w:tabs>
        <w:spacing w:before="156" w:line="560" w:lineRule="atLeast"/>
        <w:jc w:val="center"/>
        <w:rPr>
          <w:rFonts w:ascii="Times New Roman" w:eastAsia="方正仿宋简体" w:hAnsi="Times New Roman" w:cs="宋体"/>
          <w:b/>
          <w:color w:val="333333"/>
          <w:kern w:val="0"/>
          <w:sz w:val="32"/>
          <w:szCs w:val="24"/>
        </w:rPr>
      </w:pPr>
      <w:r w:rsidRPr="00A24CF7">
        <w:rPr>
          <w:rFonts w:ascii="Times New Roman" w:eastAsia="方正仿宋简体" w:hAnsi="Times New Roman" w:cs="宋体" w:hint="eastAsia"/>
          <w:b/>
          <w:color w:val="333333"/>
          <w:kern w:val="0"/>
          <w:sz w:val="32"/>
          <w:szCs w:val="24"/>
        </w:rPr>
        <w:t>土木工程学院</w:t>
      </w:r>
      <w:r w:rsidRPr="00A24CF7">
        <w:rPr>
          <w:rFonts w:ascii="Times New Roman" w:eastAsia="方正仿宋简体" w:hAnsi="Times New Roman" w:cs="宋体"/>
          <w:b/>
          <w:color w:val="333333"/>
          <w:kern w:val="0"/>
          <w:sz w:val="32"/>
          <w:szCs w:val="24"/>
        </w:rPr>
        <w:t>实验室准入办法</w:t>
      </w:r>
    </w:p>
    <w:p w:rsid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为进一步加强师生员工的实验室安全责任意识，提高其实验室安全知识水平，保障人身和财产安全，维护教学科研等工作正常进行，促进实验室安全文化建设，根据《高等学校实验室工作规程》、《西南交通大学</w:t>
      </w: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实验室安全管理办法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》、《西南交通大学</w:t>
      </w: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实验室安全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考试</w:t>
      </w: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办法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》等文件精神，制定本办法。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本办法所称的实验室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，</w:t>
      </w: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是指按照我校实验室设置管理办法确认或审批的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、归属土木学院管理的</w:t>
      </w: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各级各类实验室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实体机构。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所有拟进入校内实验室学习、工作的师生，必须参照《西南交通大学</w:t>
      </w: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实验室安全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考试</w:t>
      </w:r>
      <w:r w:rsidRPr="00A24CF7"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  <w:t>办法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》接受实验室安全教育培训，经考核合格取得《西南交通大学实验室安全准入证书》（以下简称“准入证书”）后，方可进入。准入证书的取得及管理，参照《西南交通大学实验室安全准入证书》执行。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院内各实验室必须严格落实安全考试准入制度，督促师生完成培训和考试，严格禁止未获得准入证书的人员进入实验室。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实验室试验区域是实验室试验组人员和相关项目组人员的工作场所，其它无关人员未经允许不得入内。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所有进入试验区域工作的人员，必须佩戴工作牌，穿戴安全防护用品安全帽、工作服、劳保鞋，方可进入实验室进行相关的实验操作。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非工作人员进入试验区域，须按照实验室审批流程，办理相关手续，发放胸卡；在试验大厅入口处设登记处，登记方可入内。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各类学生不得擅自进入试验区域；参加老师课题，需要进入试验区域的学生，须相关指导老师向试验研究部提出申请，征得同意后，在综合管理办公室办理相关手续，学生在进行必要的实验室相关规章制度学习和安全教育后，</w:t>
      </w: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lastRenderedPageBreak/>
        <w:t>方可进入试验区域；相关准入事宜在试验研究部综合管理办公室备案，包括学生所参加项目名称、工作场所、工作时间和整个过程的开始与结束时间。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因参加项目进入试验区域的学生，必须佩戴临时工作牌，进、出实验室须登记，一般只允许在相关工作区域内工作，不得随便游荡和碰弄设备。如发生意外追究学生本人和指导教师的责任。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所有在试验区域工作的准入学生必须注意自身安全，必须穿戴安全帽、劳保鞋；所有凌空作业必须有安全防护措施。如有违反，大厅工作人员有权阻止，严禁进入，甚至停止工作。</w:t>
      </w:r>
    </w:p>
    <w:p w:rsidR="00A24CF7" w:rsidRP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所有在试验区域工作的人员（包括准入学生）必须注意试验场所的卫生，严禁抽烟、吐痰，严禁在试验区域吃零食和乱扔东西。</w:t>
      </w:r>
    </w:p>
    <w:p w:rsidR="00A24CF7" w:rsidRDefault="00A24CF7" w:rsidP="00A24CF7">
      <w:pPr>
        <w:pStyle w:val="a5"/>
        <w:numPr>
          <w:ilvl w:val="0"/>
          <w:numId w:val="1"/>
        </w:numPr>
        <w:spacing w:line="240" w:lineRule="auto"/>
        <w:ind w:left="0" w:firstLine="480"/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进入实验室试验区域参观的人员，必须佩戴临时工作牌、安全帽，一定要有实验室相关人员带领，严禁抽烟、拍照，并注意试验区域内容的警示标志；参观人员不得随便走动和碰弄设备，并遵守卫生要求。</w:t>
      </w:r>
    </w:p>
    <w:p w:rsidR="00A24CF7" w:rsidRPr="00EB1C0F" w:rsidRDefault="00A24CF7" w:rsidP="00EB1C0F">
      <w:pPr>
        <w:pStyle w:val="a5"/>
        <w:numPr>
          <w:ilvl w:val="0"/>
          <w:numId w:val="1"/>
        </w:numPr>
        <w:spacing w:line="240" w:lineRule="auto"/>
        <w:ind w:left="0" w:firstLine="480"/>
        <w:rPr>
          <w:rFonts w:ascii="Times New Roman" w:eastAsia="方正仿宋简体" w:hAnsi="Times New Roman" w:cs="宋体"/>
          <w:color w:val="333333"/>
          <w:kern w:val="0"/>
          <w:sz w:val="24"/>
          <w:szCs w:val="24"/>
        </w:rPr>
      </w:pPr>
      <w:r w:rsidRPr="00A24CF7"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进入试验区域的所有人员，同时须遵守实验室其它相关要求</w:t>
      </w:r>
      <w:r>
        <w:rPr>
          <w:rFonts w:ascii="Times New Roman" w:eastAsia="方正仿宋简体" w:hAnsi="Times New Roman" w:cs="宋体" w:hint="eastAsia"/>
          <w:color w:val="333333"/>
          <w:kern w:val="0"/>
          <w:sz w:val="24"/>
          <w:szCs w:val="24"/>
        </w:rPr>
        <w:t>。</w:t>
      </w:r>
    </w:p>
    <w:sectPr w:rsidR="00A24CF7" w:rsidRPr="00EB1C0F" w:rsidSect="0034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15" w:rsidRDefault="00A44715" w:rsidP="001F65D9">
      <w:r>
        <w:separator/>
      </w:r>
    </w:p>
  </w:endnote>
  <w:endnote w:type="continuationSeparator" w:id="1">
    <w:p w:rsidR="00A44715" w:rsidRDefault="00A44715" w:rsidP="001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15" w:rsidRDefault="00A44715" w:rsidP="001F65D9">
      <w:r>
        <w:separator/>
      </w:r>
    </w:p>
  </w:footnote>
  <w:footnote w:type="continuationSeparator" w:id="1">
    <w:p w:rsidR="00A44715" w:rsidRDefault="00A44715" w:rsidP="001F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1E7F"/>
    <w:multiLevelType w:val="hybridMultilevel"/>
    <w:tmpl w:val="4D74B9F2"/>
    <w:lvl w:ilvl="0" w:tplc="F62C88EC">
      <w:start w:val="1"/>
      <w:numFmt w:val="chineseCountingThousand"/>
      <w:lvlText w:val="第%1条"/>
      <w:lvlJc w:val="left"/>
      <w:pPr>
        <w:ind w:left="2263" w:hanging="420"/>
      </w:pPr>
      <w:rPr>
        <w:rFonts w:eastAsia="宋体" w:cs="仿宋_GB2312" w:hint="eastAsia"/>
        <w:b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7C"/>
    <w:rsid w:val="00063999"/>
    <w:rsid w:val="001F65D9"/>
    <w:rsid w:val="003419C2"/>
    <w:rsid w:val="003F124F"/>
    <w:rsid w:val="004130D4"/>
    <w:rsid w:val="0050264E"/>
    <w:rsid w:val="00535DEB"/>
    <w:rsid w:val="0067378B"/>
    <w:rsid w:val="006A687C"/>
    <w:rsid w:val="00793A58"/>
    <w:rsid w:val="008678D8"/>
    <w:rsid w:val="008B0EFD"/>
    <w:rsid w:val="008F567D"/>
    <w:rsid w:val="0092663F"/>
    <w:rsid w:val="00A24CF7"/>
    <w:rsid w:val="00A44715"/>
    <w:rsid w:val="00AE3821"/>
    <w:rsid w:val="00BB5C43"/>
    <w:rsid w:val="00C43954"/>
    <w:rsid w:val="00C950BD"/>
    <w:rsid w:val="00DF3A6F"/>
    <w:rsid w:val="00EB1C0F"/>
    <w:rsid w:val="00F05099"/>
    <w:rsid w:val="00F6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5D9"/>
    <w:rPr>
      <w:sz w:val="18"/>
      <w:szCs w:val="18"/>
    </w:rPr>
  </w:style>
  <w:style w:type="paragraph" w:styleId="a5">
    <w:name w:val="List Paragraph"/>
    <w:basedOn w:val="a"/>
    <w:uiPriority w:val="34"/>
    <w:qFormat/>
    <w:rsid w:val="00A24CF7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896</Characters>
  <Application>Microsoft Office Word</Application>
  <DocSecurity>0</DocSecurity>
  <Lines>7</Lines>
  <Paragraphs>2</Paragraphs>
  <ScaleCrop>false</ScaleCrop>
  <Company>Lenovo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LinXiao</dc:creator>
  <cp:lastModifiedBy>cheng</cp:lastModifiedBy>
  <cp:revision>15</cp:revision>
  <dcterms:created xsi:type="dcterms:W3CDTF">2017-09-20T01:01:00Z</dcterms:created>
  <dcterms:modified xsi:type="dcterms:W3CDTF">2017-09-20T02:20:00Z</dcterms:modified>
</cp:coreProperties>
</file>